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1F47A" w14:textId="5564ACBB" w:rsidR="004F05BD" w:rsidRDefault="004F05BD" w:rsidP="004F05BD">
      <w:pPr>
        <w:pStyle w:val="RealEstate4L1"/>
        <w:numPr>
          <w:ilvl w:val="0"/>
          <w:numId w:val="0"/>
        </w:numPr>
        <w:tabs>
          <w:tab w:val="left" w:pos="720"/>
        </w:tabs>
        <w:spacing w:after="0"/>
        <w:jc w:val="center"/>
        <w:rPr>
          <w:caps/>
          <w:sz w:val="32"/>
          <w:szCs w:val="32"/>
        </w:rPr>
      </w:pPr>
      <w:r>
        <w:rPr>
          <w:caps/>
          <w:sz w:val="32"/>
          <w:szCs w:val="32"/>
        </w:rPr>
        <w:t>APPENDIX 1</w:t>
      </w:r>
    </w:p>
    <w:p w14:paraId="60ACF609" w14:textId="77777777" w:rsidR="004F05BD" w:rsidRDefault="004F05BD" w:rsidP="004F05BD">
      <w:pPr>
        <w:pStyle w:val="RealEstate4L1"/>
        <w:numPr>
          <w:ilvl w:val="0"/>
          <w:numId w:val="0"/>
        </w:numPr>
        <w:tabs>
          <w:tab w:val="left" w:pos="720"/>
        </w:tabs>
        <w:spacing w:after="0"/>
        <w:jc w:val="center"/>
        <w:rPr>
          <w:caps/>
          <w:sz w:val="32"/>
          <w:szCs w:val="32"/>
        </w:rPr>
      </w:pPr>
      <w:r>
        <w:rPr>
          <w:caps/>
          <w:sz w:val="32"/>
          <w:szCs w:val="32"/>
        </w:rPr>
        <w:t>NET PROCEEDS DEFINITIONS / ACCOUNTING / AUDIT</w:t>
      </w:r>
    </w:p>
    <w:p w14:paraId="6667B213" w14:textId="77777777" w:rsidR="004F05BD" w:rsidRDefault="004F05BD" w:rsidP="004F05BD">
      <w:pPr>
        <w:pStyle w:val="RealEstate4L1"/>
        <w:numPr>
          <w:ilvl w:val="0"/>
          <w:numId w:val="0"/>
        </w:numPr>
        <w:tabs>
          <w:tab w:val="left" w:pos="720"/>
        </w:tabs>
        <w:spacing w:after="0"/>
        <w:jc w:val="both"/>
        <w:rPr>
          <w:caps/>
          <w:sz w:val="22"/>
          <w:szCs w:val="22"/>
        </w:rPr>
      </w:pPr>
    </w:p>
    <w:p w14:paraId="332777F1" w14:textId="77777777" w:rsidR="004F05BD" w:rsidRDefault="004F05BD" w:rsidP="004F05BD">
      <w:pPr>
        <w:pStyle w:val="RealEstate4L1"/>
        <w:numPr>
          <w:ilvl w:val="0"/>
          <w:numId w:val="0"/>
        </w:numPr>
        <w:tabs>
          <w:tab w:val="left" w:pos="720"/>
        </w:tabs>
        <w:spacing w:after="0"/>
        <w:jc w:val="both"/>
        <w:rPr>
          <w:caps/>
          <w:sz w:val="22"/>
          <w:szCs w:val="22"/>
        </w:rPr>
      </w:pPr>
    </w:p>
    <w:p w14:paraId="0C3127C1" w14:textId="4EDA1F03" w:rsidR="004F05BD" w:rsidRDefault="004F05BD" w:rsidP="004F05BD">
      <w:pPr>
        <w:pStyle w:val="BodyText"/>
        <w:jc w:val="both"/>
        <w:rPr>
          <w:sz w:val="22"/>
          <w:szCs w:val="22"/>
        </w:rPr>
      </w:pPr>
      <w:r>
        <w:rPr>
          <w:sz w:val="22"/>
          <w:szCs w:val="22"/>
        </w:rPr>
        <w:t xml:space="preserve">1. </w:t>
      </w:r>
      <w:r>
        <w:rPr>
          <w:sz w:val="22"/>
          <w:szCs w:val="22"/>
          <w:u w:val="single"/>
        </w:rPr>
        <w:t>Gross Receipts</w:t>
      </w:r>
      <w:r>
        <w:rPr>
          <w:sz w:val="22"/>
          <w:szCs w:val="22"/>
        </w:rPr>
        <w:t>:  “</w:t>
      </w:r>
      <w:r>
        <w:rPr>
          <w:b/>
          <w:bCs/>
          <w:sz w:val="22"/>
          <w:szCs w:val="22"/>
        </w:rPr>
        <w:t>Gross Receipts</w:t>
      </w:r>
      <w:r>
        <w:rPr>
          <w:sz w:val="22"/>
          <w:szCs w:val="22"/>
        </w:rPr>
        <w:t>” means all monies, receipts and other consideration (</w:t>
      </w:r>
      <w:r w:rsidRPr="00571EE6">
        <w:rPr>
          <w:strike/>
          <w:sz w:val="22"/>
          <w:szCs w:val="22"/>
        </w:rPr>
        <w:t>including any film tax credits and/or rebates relating to the Film</w:t>
      </w:r>
      <w:r>
        <w:rPr>
          <w:sz w:val="22"/>
          <w:szCs w:val="22"/>
        </w:rPr>
        <w:t>) received by or credited to</w:t>
      </w:r>
      <w:r w:rsidR="00571EE6">
        <w:rPr>
          <w:sz w:val="22"/>
          <w:szCs w:val="22"/>
        </w:rPr>
        <w:t xml:space="preserve"> </w:t>
      </w:r>
      <w:r w:rsidR="00571EE6" w:rsidRPr="00571EE6">
        <w:rPr>
          <w:color w:val="FF0000"/>
          <w:sz w:val="22"/>
          <w:szCs w:val="22"/>
        </w:rPr>
        <w:t xml:space="preserve">AE, </w:t>
      </w:r>
      <w:r>
        <w:rPr>
          <w:sz w:val="22"/>
          <w:szCs w:val="22"/>
        </w:rPr>
        <w:t>[</w:t>
      </w:r>
      <w:r w:rsidRPr="00571EE6">
        <w:rPr>
          <w:strike/>
          <w:sz w:val="22"/>
          <w:szCs w:val="22"/>
        </w:rPr>
        <w:t>Distributor / Financier of the Film] (“Distributor</w:t>
      </w:r>
      <w:r>
        <w:rPr>
          <w:sz w:val="22"/>
          <w:szCs w:val="22"/>
        </w:rPr>
        <w:t xml:space="preserve">”) or any subsidiary, affiliate or agent of </w:t>
      </w:r>
      <w:r w:rsidRPr="00571EE6">
        <w:rPr>
          <w:strike/>
          <w:sz w:val="22"/>
          <w:szCs w:val="22"/>
        </w:rPr>
        <w:t>Distributor</w:t>
      </w:r>
      <w:r>
        <w:rPr>
          <w:sz w:val="22"/>
          <w:szCs w:val="22"/>
        </w:rPr>
        <w:t xml:space="preserve"> </w:t>
      </w:r>
      <w:r w:rsidR="00571EE6" w:rsidRPr="00571EE6">
        <w:rPr>
          <w:color w:val="FF0000"/>
          <w:sz w:val="22"/>
          <w:szCs w:val="22"/>
        </w:rPr>
        <w:t>theirs,</w:t>
      </w:r>
      <w:r w:rsidR="00571EE6">
        <w:rPr>
          <w:sz w:val="22"/>
          <w:szCs w:val="22"/>
        </w:rPr>
        <w:t xml:space="preserve"> </w:t>
      </w:r>
      <w:r>
        <w:rPr>
          <w:sz w:val="22"/>
          <w:szCs w:val="22"/>
        </w:rPr>
        <w:t>in connection with the exploitation of the Film and any rights therein anywhere in the universe in any and all media and channels of distribution now or hereafter known.</w:t>
      </w:r>
    </w:p>
    <w:p w14:paraId="54CECA5D" w14:textId="77777777" w:rsidR="004F05BD" w:rsidRDefault="004F05BD" w:rsidP="004F05BD">
      <w:pPr>
        <w:pStyle w:val="BodyText"/>
        <w:jc w:val="both"/>
        <w:rPr>
          <w:sz w:val="22"/>
          <w:szCs w:val="22"/>
        </w:rPr>
      </w:pPr>
    </w:p>
    <w:p w14:paraId="1C3634EB" w14:textId="77777777" w:rsidR="004F05BD" w:rsidRDefault="004F05BD" w:rsidP="004F05BD">
      <w:pPr>
        <w:pStyle w:val="BodyText"/>
        <w:jc w:val="both"/>
        <w:rPr>
          <w:sz w:val="22"/>
          <w:szCs w:val="22"/>
        </w:rPr>
      </w:pPr>
      <w:r>
        <w:rPr>
          <w:sz w:val="22"/>
          <w:szCs w:val="22"/>
        </w:rPr>
        <w:t xml:space="preserve">2. </w:t>
      </w:r>
      <w:r>
        <w:rPr>
          <w:sz w:val="22"/>
          <w:szCs w:val="22"/>
          <w:u w:val="single"/>
        </w:rPr>
        <w:t>Net Receipts</w:t>
      </w:r>
      <w:r>
        <w:rPr>
          <w:sz w:val="22"/>
          <w:szCs w:val="22"/>
        </w:rPr>
        <w:t>:  “</w:t>
      </w:r>
      <w:r>
        <w:rPr>
          <w:b/>
          <w:bCs/>
          <w:sz w:val="22"/>
          <w:szCs w:val="22"/>
        </w:rPr>
        <w:t>Net Receipts</w:t>
      </w:r>
      <w:r>
        <w:rPr>
          <w:sz w:val="22"/>
          <w:szCs w:val="22"/>
        </w:rPr>
        <w:t xml:space="preserve">” means all Gross Receipts remaining after </w:t>
      </w:r>
      <w:bookmarkStart w:id="0" w:name="OLE_LINK5"/>
      <w:bookmarkStart w:id="1" w:name="OLE_LINK4"/>
      <w:r>
        <w:rPr>
          <w:sz w:val="22"/>
          <w:szCs w:val="22"/>
        </w:rPr>
        <w:t xml:space="preserve">deduction of solely the following amounts, on a continuing basis </w:t>
      </w:r>
      <w:r w:rsidRPr="00571EE6">
        <w:rPr>
          <w:strike/>
          <w:sz w:val="22"/>
          <w:szCs w:val="22"/>
        </w:rPr>
        <w:t>and in the following order</w:t>
      </w:r>
      <w:r>
        <w:rPr>
          <w:sz w:val="22"/>
          <w:szCs w:val="22"/>
        </w:rPr>
        <w:t>:</w:t>
      </w:r>
    </w:p>
    <w:p w14:paraId="6698DAC2" w14:textId="77777777" w:rsidR="004F05BD" w:rsidRDefault="004F05BD" w:rsidP="004F05BD">
      <w:pPr>
        <w:pStyle w:val="BodyText"/>
        <w:jc w:val="both"/>
        <w:rPr>
          <w:sz w:val="22"/>
          <w:szCs w:val="22"/>
        </w:rPr>
      </w:pPr>
      <w:r>
        <w:rPr>
          <w:sz w:val="22"/>
          <w:szCs w:val="22"/>
        </w:rPr>
        <w:br/>
        <w:t xml:space="preserve">(a)Distributor’s </w:t>
      </w:r>
      <w:r>
        <w:rPr>
          <w:b/>
          <w:bCs/>
          <w:sz w:val="22"/>
          <w:szCs w:val="22"/>
        </w:rPr>
        <w:t>Distribution Fees</w:t>
      </w:r>
      <w:r>
        <w:rPr>
          <w:sz w:val="22"/>
          <w:szCs w:val="22"/>
        </w:rPr>
        <w:t xml:space="preserve"> (as defined below):</w:t>
      </w:r>
    </w:p>
    <w:p w14:paraId="110D37F2" w14:textId="77777777" w:rsidR="004F05BD" w:rsidRDefault="004F05BD" w:rsidP="004F05BD">
      <w:pPr>
        <w:pStyle w:val="BodyText"/>
        <w:jc w:val="both"/>
        <w:rPr>
          <w:sz w:val="22"/>
          <w:szCs w:val="22"/>
        </w:rPr>
      </w:pPr>
    </w:p>
    <w:p w14:paraId="4327EEDE" w14:textId="77777777" w:rsidR="004F05BD" w:rsidRDefault="004F05BD" w:rsidP="004F05BD">
      <w:pPr>
        <w:pStyle w:val="BodyText"/>
        <w:jc w:val="both"/>
        <w:rPr>
          <w:sz w:val="22"/>
          <w:szCs w:val="22"/>
        </w:rPr>
      </w:pPr>
      <w:r>
        <w:rPr>
          <w:sz w:val="22"/>
          <w:szCs w:val="22"/>
        </w:rPr>
        <w:t xml:space="preserve">(b)Distributor’s actual, direct, out-of-pocket, arms-length </w:t>
      </w:r>
      <w:r>
        <w:rPr>
          <w:b/>
          <w:bCs/>
          <w:sz w:val="22"/>
          <w:szCs w:val="22"/>
        </w:rPr>
        <w:t>Distribution Expenses</w:t>
      </w:r>
      <w:r>
        <w:rPr>
          <w:sz w:val="22"/>
          <w:szCs w:val="22"/>
        </w:rPr>
        <w:t xml:space="preserve"> (as defined below), which Distribution Expenses shall be reasonable as determined by Distributor in the exercise of its good faith business judgment.</w:t>
      </w:r>
    </w:p>
    <w:p w14:paraId="6E039E13" w14:textId="10B96644" w:rsidR="004F05BD" w:rsidRPr="00571EE6" w:rsidRDefault="004F05BD" w:rsidP="004F05BD">
      <w:pPr>
        <w:pStyle w:val="BodyText"/>
        <w:jc w:val="both"/>
        <w:rPr>
          <w:strike/>
          <w:sz w:val="22"/>
          <w:szCs w:val="22"/>
        </w:rPr>
      </w:pPr>
      <w:r>
        <w:rPr>
          <w:sz w:val="22"/>
          <w:szCs w:val="22"/>
        </w:rPr>
        <w:br/>
        <w:t>(c)All actual, verifiable, arms’-length, direct out-of-pocket costs incurred by [</w:t>
      </w:r>
      <w:r w:rsidR="003B014C" w:rsidRPr="003B014C">
        <w:rPr>
          <w:color w:val="FF0000"/>
          <w:sz w:val="22"/>
          <w:szCs w:val="22"/>
        </w:rPr>
        <w:t>AE</w:t>
      </w:r>
      <w:r>
        <w:rPr>
          <w:sz w:val="22"/>
          <w:szCs w:val="22"/>
        </w:rPr>
        <w:t xml:space="preserve">] including the $1.1MM payment to the Estate </w:t>
      </w:r>
      <w:r w:rsidRPr="003B014C">
        <w:rPr>
          <w:strike/>
          <w:sz w:val="22"/>
          <w:szCs w:val="22"/>
        </w:rPr>
        <w:t>(“Financier Recoupable Costs”)</w:t>
      </w:r>
      <w:r>
        <w:rPr>
          <w:sz w:val="22"/>
          <w:szCs w:val="22"/>
        </w:rPr>
        <w:t xml:space="preserve">  and, separately, AE (“AE Recoupable Costs”) </w:t>
      </w:r>
      <w:r w:rsidR="00571EE6" w:rsidRPr="00571EE6">
        <w:rPr>
          <w:color w:val="FF0000"/>
          <w:sz w:val="22"/>
          <w:szCs w:val="22"/>
        </w:rPr>
        <w:t>as reflected in Exhibit “A”, the “Film Budg</w:t>
      </w:r>
      <w:r w:rsidR="003B014C">
        <w:rPr>
          <w:color w:val="FF0000"/>
          <w:sz w:val="22"/>
          <w:szCs w:val="22"/>
        </w:rPr>
        <w:t>et”, as well as all payments to third parties who have a valid prior financial interest in the Film.</w:t>
      </w:r>
      <w:bookmarkStart w:id="2" w:name="_GoBack"/>
      <w:bookmarkEnd w:id="2"/>
      <w:r w:rsidR="00571EE6" w:rsidRPr="00571EE6">
        <w:rPr>
          <w:color w:val="FF0000"/>
          <w:sz w:val="22"/>
          <w:szCs w:val="22"/>
        </w:rPr>
        <w:t xml:space="preserve"> </w:t>
      </w:r>
      <w:r w:rsidRPr="00571EE6">
        <w:rPr>
          <w:strike/>
          <w:sz w:val="22"/>
          <w:szCs w:val="22"/>
        </w:rPr>
        <w:t>in connection with the Film</w:t>
      </w:r>
      <w:r>
        <w:rPr>
          <w:sz w:val="22"/>
          <w:szCs w:val="22"/>
        </w:rPr>
        <w:t xml:space="preserve">.  </w:t>
      </w:r>
      <w:r w:rsidRPr="00571EE6">
        <w:rPr>
          <w:strike/>
          <w:sz w:val="22"/>
          <w:szCs w:val="22"/>
        </w:rPr>
        <w:t>The Financier Recoupable Costs and AE Recoupable Costs will be subject to review and approval by the Distributor [and the AE Recoupable Costs capped at $_________ in aggregate].</w:t>
      </w:r>
    </w:p>
    <w:p w14:paraId="1BD44088" w14:textId="77777777" w:rsidR="004F05BD" w:rsidRDefault="004F05BD" w:rsidP="004F05BD">
      <w:pPr>
        <w:pStyle w:val="BodyText"/>
        <w:jc w:val="both"/>
        <w:rPr>
          <w:sz w:val="22"/>
          <w:szCs w:val="22"/>
        </w:rPr>
      </w:pPr>
    </w:p>
    <w:p w14:paraId="38BC5E2D" w14:textId="77777777" w:rsidR="004F05BD" w:rsidRDefault="004F05BD" w:rsidP="004F05BD">
      <w:pPr>
        <w:pStyle w:val="BodyText"/>
        <w:jc w:val="both"/>
        <w:rPr>
          <w:sz w:val="22"/>
          <w:szCs w:val="22"/>
        </w:rPr>
      </w:pPr>
      <w:r>
        <w:rPr>
          <w:sz w:val="22"/>
          <w:szCs w:val="22"/>
        </w:rPr>
        <w:t>(d)Any applicable reasonable and customary reserves established by Distributor consistent with then-prevailing general US film distribution industry standards for returns or defective products, provided such reserves shall be liquidated within a reasonable time but in no event later [on a continuing basis] than Fifty Percent (50%) every Six (6) months from creation and Fifty Percent (50%) every twelve (12) months from creation.</w:t>
      </w:r>
    </w:p>
    <w:p w14:paraId="2D75A3BD" w14:textId="77777777" w:rsidR="004F05BD" w:rsidRDefault="004F05BD" w:rsidP="004F05BD">
      <w:pPr>
        <w:pStyle w:val="BodyText"/>
        <w:jc w:val="both"/>
        <w:rPr>
          <w:sz w:val="22"/>
          <w:szCs w:val="22"/>
        </w:rPr>
      </w:pPr>
      <w:r>
        <w:rPr>
          <w:sz w:val="22"/>
          <w:szCs w:val="22"/>
        </w:rPr>
        <w:br/>
        <w:t>All Gross Receipts remaining after the foregoing deductions shall constitute Net Proceeds.</w:t>
      </w:r>
    </w:p>
    <w:p w14:paraId="151756C4" w14:textId="77777777" w:rsidR="004F05BD" w:rsidRDefault="004F05BD" w:rsidP="004F05BD">
      <w:pPr>
        <w:pStyle w:val="BodyText"/>
        <w:jc w:val="both"/>
        <w:rPr>
          <w:sz w:val="22"/>
          <w:szCs w:val="22"/>
        </w:rPr>
      </w:pPr>
    </w:p>
    <w:bookmarkEnd w:id="0"/>
    <w:bookmarkEnd w:id="1"/>
    <w:p w14:paraId="3B684D28" w14:textId="77777777" w:rsidR="004F05BD" w:rsidRDefault="004F05BD" w:rsidP="004F05BD">
      <w:pPr>
        <w:pStyle w:val="BodyText"/>
        <w:jc w:val="both"/>
        <w:rPr>
          <w:spacing w:val="-3"/>
          <w:sz w:val="22"/>
          <w:szCs w:val="22"/>
        </w:rPr>
      </w:pPr>
      <w:r>
        <w:rPr>
          <w:sz w:val="22"/>
          <w:szCs w:val="22"/>
        </w:rPr>
        <w:t>4.</w:t>
      </w:r>
      <w:r>
        <w:rPr>
          <w:sz w:val="22"/>
          <w:szCs w:val="22"/>
          <w:u w:val="single"/>
        </w:rPr>
        <w:t>Distribution Expenses</w:t>
      </w:r>
      <w:r>
        <w:rPr>
          <w:sz w:val="22"/>
          <w:szCs w:val="22"/>
        </w:rPr>
        <w:t>:  “</w:t>
      </w:r>
      <w:r>
        <w:rPr>
          <w:b/>
          <w:bCs/>
          <w:sz w:val="22"/>
          <w:szCs w:val="22"/>
        </w:rPr>
        <w:t>Distribution Expenses</w:t>
      </w:r>
      <w:r>
        <w:rPr>
          <w:sz w:val="22"/>
          <w:szCs w:val="22"/>
        </w:rPr>
        <w:t xml:space="preserve">” means any and all of Distributor’s direct out of pocket costs, charges and expenses paid in connection with the distribution, exhibition, advertising, exploitation and turning to account of the Film, or in the exercise of Distributor’s rights in the Film, and which are customarily treated as distribution expenses under customary accounting procedures in the motion picture industry.  The amount of Distribution Expenses incurred by Distributor in connection with the Film shall be reasonable as determined by Distributor in its good faith business judgment.  </w:t>
      </w:r>
      <w:r>
        <w:rPr>
          <w:spacing w:val="-3"/>
          <w:sz w:val="22"/>
          <w:szCs w:val="22"/>
        </w:rPr>
        <w:t>Distributor shall not charge overhead on Distribution Expenses, nor interest on overhead.</w:t>
      </w:r>
    </w:p>
    <w:p w14:paraId="2B64DAF6" w14:textId="77777777" w:rsidR="004F05BD" w:rsidRDefault="004F05BD" w:rsidP="004F05BD">
      <w:pPr>
        <w:pStyle w:val="BodyText"/>
        <w:jc w:val="both"/>
        <w:rPr>
          <w:spacing w:val="-3"/>
          <w:sz w:val="22"/>
          <w:szCs w:val="22"/>
        </w:rPr>
      </w:pPr>
    </w:p>
    <w:p w14:paraId="5730EAA1" w14:textId="77777777" w:rsidR="004F05BD" w:rsidRDefault="004F05BD" w:rsidP="004F05BD">
      <w:pPr>
        <w:pStyle w:val="BodyText"/>
        <w:jc w:val="both"/>
        <w:rPr>
          <w:sz w:val="22"/>
          <w:szCs w:val="22"/>
        </w:rPr>
      </w:pPr>
      <w:r>
        <w:rPr>
          <w:spacing w:val="-3"/>
          <w:sz w:val="22"/>
          <w:szCs w:val="22"/>
        </w:rPr>
        <w:t>5.</w:t>
      </w:r>
      <w:r>
        <w:rPr>
          <w:sz w:val="22"/>
          <w:szCs w:val="22"/>
          <w:u w:val="single"/>
        </w:rPr>
        <w:t>Reporting Periods</w:t>
      </w:r>
      <w:r>
        <w:rPr>
          <w:sz w:val="22"/>
          <w:szCs w:val="22"/>
        </w:rPr>
        <w:t xml:space="preserve">:  Customary detailed accounting statements with respect to all Gross Receipts and Net Proceeds shall be calculated on not less than a semiannual basis.  Statements and payments shall be delivered within ninety (90) days of the close of each reporting period. </w:t>
      </w:r>
    </w:p>
    <w:p w14:paraId="0AA60579" w14:textId="77777777" w:rsidR="004F05BD" w:rsidRDefault="004F05BD" w:rsidP="004F05BD">
      <w:pPr>
        <w:pStyle w:val="BodyText"/>
        <w:jc w:val="both"/>
        <w:rPr>
          <w:sz w:val="22"/>
          <w:szCs w:val="22"/>
        </w:rPr>
      </w:pPr>
    </w:p>
    <w:p w14:paraId="1E2CA469" w14:textId="77777777" w:rsidR="004F05BD" w:rsidRDefault="004F05BD" w:rsidP="004F05BD">
      <w:pPr>
        <w:pStyle w:val="BodyText"/>
        <w:jc w:val="both"/>
        <w:rPr>
          <w:sz w:val="22"/>
          <w:szCs w:val="22"/>
        </w:rPr>
      </w:pPr>
      <w:r>
        <w:rPr>
          <w:sz w:val="22"/>
          <w:szCs w:val="22"/>
        </w:rPr>
        <w:t>6.</w:t>
      </w:r>
      <w:r>
        <w:rPr>
          <w:sz w:val="22"/>
          <w:szCs w:val="22"/>
          <w:u w:val="single"/>
        </w:rPr>
        <w:t>Audit</w:t>
      </w:r>
      <w:r>
        <w:rPr>
          <w:sz w:val="22"/>
          <w:szCs w:val="22"/>
        </w:rPr>
        <w:t xml:space="preserve">.  The Estate shall have the right to have a certified public accountant of its choice audit Distributor’s books and records with respect to the Picture once per year (and only once with respect to any particular records and/or statements) at the Estate's sole cost and expense; such audit shall take place at Distributor’s principal place of business during normal business hours and shall not unreasonably interfere with </w:t>
      </w:r>
      <w:r>
        <w:rPr>
          <w:sz w:val="22"/>
          <w:szCs w:val="22"/>
        </w:rPr>
        <w:lastRenderedPageBreak/>
        <w:t>Distributor’s course of business.  All notices, statements and payments made pursuant to this Agreement shall be deemed valid and binding on the Estate and shall not be subject to dispute or audit unless disputed in writing within thirty-six (36) months after first issued.  Without limiting the foregoing, Distributor shall notify the Estate in writing of any request to audit Distributor with respect to the Film so as to provide the Estate the opportunity to participate in such audit in accordance with the terms of this Agreement.</w:t>
      </w:r>
    </w:p>
    <w:p w14:paraId="31AC257D" w14:textId="77777777" w:rsidR="004F05BD" w:rsidRDefault="004F05BD" w:rsidP="004F05BD">
      <w:pPr>
        <w:pStyle w:val="BodyText"/>
        <w:jc w:val="both"/>
        <w:rPr>
          <w:sz w:val="22"/>
          <w:szCs w:val="22"/>
        </w:rPr>
      </w:pPr>
    </w:p>
    <w:p w14:paraId="342701FB" w14:textId="77777777" w:rsidR="004F05BD" w:rsidRDefault="004F05BD" w:rsidP="004F05BD">
      <w:pPr>
        <w:pStyle w:val="RealEstate4L1"/>
        <w:numPr>
          <w:ilvl w:val="0"/>
          <w:numId w:val="0"/>
        </w:numPr>
        <w:tabs>
          <w:tab w:val="left" w:pos="720"/>
        </w:tabs>
        <w:spacing w:after="0"/>
        <w:jc w:val="both"/>
        <w:rPr>
          <w:sz w:val="22"/>
          <w:szCs w:val="22"/>
        </w:rPr>
      </w:pPr>
      <w:r>
        <w:rPr>
          <w:sz w:val="22"/>
          <w:szCs w:val="22"/>
        </w:rPr>
        <w:t>7.</w:t>
      </w:r>
      <w:r>
        <w:rPr>
          <w:sz w:val="22"/>
          <w:szCs w:val="22"/>
          <w:u w:val="single"/>
        </w:rPr>
        <w:t>Distribution Fees</w:t>
      </w:r>
      <w:r>
        <w:rPr>
          <w:sz w:val="22"/>
          <w:szCs w:val="22"/>
        </w:rPr>
        <w:t>:   Distributor’s “</w:t>
      </w:r>
      <w:r>
        <w:rPr>
          <w:b/>
          <w:bCs/>
          <w:sz w:val="22"/>
          <w:szCs w:val="22"/>
        </w:rPr>
        <w:t>Distribution Fees</w:t>
      </w:r>
      <w:r>
        <w:rPr>
          <w:sz w:val="22"/>
          <w:szCs w:val="22"/>
        </w:rPr>
        <w:t xml:space="preserve">” shall be its customary distribution fees for distribution of films similar to the film but will not exceed the following percentages of Gross Receipts: (i) [Twenty Five Percent (25%)] of One Hundred Percent (100%) of all Gross Receipts from the exploitation of the Film in the U.S., Canada and the United Kingdom and (ii) [Twenty Percent (20%)] of all Gross Receipts from the exploitation of the Film in any other territory.  Distributor shall absorb within its Distribution Fees any and all fees paid by Distributor to any subdistributor to the extent applicable, if at all, in connection with the Film.  </w:t>
      </w:r>
    </w:p>
    <w:p w14:paraId="5783BE4B" w14:textId="77777777" w:rsidR="004F05BD" w:rsidRDefault="004F05BD" w:rsidP="004F05BD"/>
    <w:p w14:paraId="7428215A" w14:textId="77777777" w:rsidR="00701DA4" w:rsidRDefault="003B014C"/>
    <w:sectPr w:rsidR="00701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55AAC"/>
    <w:multiLevelType w:val="multilevel"/>
    <w:tmpl w:val="8BBADB8E"/>
    <w:lvl w:ilvl="0">
      <w:start w:val="1"/>
      <w:numFmt w:val="decimal"/>
      <w:pStyle w:val="RealEstate4L1"/>
      <w:lvlText w:val="%1."/>
      <w:lvlJc w:val="left"/>
      <w:pPr>
        <w:tabs>
          <w:tab w:val="num" w:pos="720"/>
        </w:tabs>
        <w:ind w:left="0" w:firstLine="0"/>
      </w:pPr>
      <w:rPr>
        <w:b w:val="0"/>
        <w:i w:val="0"/>
        <w:caps w:val="0"/>
        <w:strike w:val="0"/>
        <w:dstrike w:val="0"/>
        <w:vanish w:val="0"/>
        <w:webHidden w:val="0"/>
        <w:color w:val="auto"/>
        <w:sz w:val="22"/>
        <w:szCs w:val="22"/>
        <w:u w:val="none"/>
        <w:effect w:val="none"/>
        <w:vertAlign w:val="baseline"/>
        <w:specVanish w:val="0"/>
      </w:rPr>
    </w:lvl>
    <w:lvl w:ilvl="1">
      <w:start w:val="1"/>
      <w:numFmt w:val="decimal"/>
      <w:pStyle w:val="RealEstate4L2"/>
      <w:lvlText w:val="%1.%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0"/>
        <w:szCs w:val="20"/>
        <w:u w:val="none"/>
        <w:effect w:val="none"/>
        <w:vertAlign w:val="baseline"/>
        <w:specVanish w:val="0"/>
      </w:rPr>
    </w:lvl>
    <w:lvl w:ilvl="2">
      <w:start w:val="1"/>
      <w:numFmt w:val="lowerLetter"/>
      <w:pStyle w:val="RealEstate4L3"/>
      <w:lvlText w:val="(%3)"/>
      <w:lvlJc w:val="left"/>
      <w:pPr>
        <w:tabs>
          <w:tab w:val="num" w:pos="2160"/>
        </w:tabs>
        <w:ind w:left="0" w:firstLine="1440"/>
      </w:pPr>
      <w:rPr>
        <w:b w:val="0"/>
        <w:i w:val="0"/>
        <w:caps w:val="0"/>
        <w:strike w:val="0"/>
        <w:dstrike w:val="0"/>
        <w:vanish w:val="0"/>
        <w:webHidden w:val="0"/>
        <w:color w:val="auto"/>
        <w:u w:val="none"/>
        <w:effect w:val="none"/>
        <w:vertAlign w:val="baseline"/>
        <w:specVanish w:val="0"/>
      </w:rPr>
    </w:lvl>
    <w:lvl w:ilvl="3">
      <w:start w:val="1"/>
      <w:numFmt w:val="lowerRoman"/>
      <w:pStyle w:val="RealEstate4L4"/>
      <w:lvlText w:val="(%4)"/>
      <w:lvlJc w:val="left"/>
      <w:pPr>
        <w:tabs>
          <w:tab w:val="num" w:pos="2880"/>
        </w:tabs>
        <w:ind w:left="720" w:firstLine="1440"/>
      </w:pPr>
      <w:rPr>
        <w:b w:val="0"/>
        <w:i w:val="0"/>
        <w:caps w:val="0"/>
        <w:strike w:val="0"/>
        <w:dstrike w:val="0"/>
        <w:vanish w:val="0"/>
        <w:webHidden w:val="0"/>
        <w:color w:val="auto"/>
        <w:u w:val="none"/>
        <w:effect w:val="none"/>
        <w:vertAlign w:val="baseline"/>
        <w:specVanish w:val="0"/>
      </w:rPr>
    </w:lvl>
    <w:lvl w:ilvl="4">
      <w:start w:val="1"/>
      <w:numFmt w:val="decimal"/>
      <w:pStyle w:val="RealEstate4L5"/>
      <w:lvlText w:val="(%5)"/>
      <w:lvlJc w:val="left"/>
      <w:pPr>
        <w:tabs>
          <w:tab w:val="num" w:pos="3600"/>
        </w:tabs>
        <w:ind w:left="1440" w:firstLine="1440"/>
      </w:pPr>
      <w:rPr>
        <w:b w:val="0"/>
        <w:i w:val="0"/>
        <w:caps w:val="0"/>
        <w:strike w:val="0"/>
        <w:dstrike w:val="0"/>
        <w:vanish w:val="0"/>
        <w:webHidden w:val="0"/>
        <w:color w:val="auto"/>
        <w:u w:val="none"/>
        <w:effect w:val="none"/>
        <w:vertAlign w:val="baseline"/>
        <w:specVanish w:val="0"/>
      </w:rPr>
    </w:lvl>
    <w:lvl w:ilvl="5">
      <w:start w:val="1"/>
      <w:numFmt w:val="upperLetter"/>
      <w:pStyle w:val="RealEstate4L6"/>
      <w:lvlText w:val="(%6)"/>
      <w:lvlJc w:val="left"/>
      <w:pPr>
        <w:tabs>
          <w:tab w:val="num" w:pos="3960"/>
        </w:tabs>
        <w:ind w:left="2160" w:firstLine="1440"/>
      </w:pPr>
      <w:rPr>
        <w:strike w:val="0"/>
        <w:dstrike w:val="0"/>
        <w:color w:val="auto"/>
        <w:u w:val="none"/>
        <w:effect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BD"/>
    <w:rsid w:val="003B014C"/>
    <w:rsid w:val="004B086D"/>
    <w:rsid w:val="004F05BD"/>
    <w:rsid w:val="00571EE6"/>
    <w:rsid w:val="008B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68D0"/>
  <w15:chartTrackingRefBased/>
  <w15:docId w15:val="{79459946-28EF-4FF0-B681-7DC3EF85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F05BD"/>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4F05BD"/>
    <w:rPr>
      <w:rFonts w:ascii="Times New Roman" w:hAnsi="Times New Roman" w:cs="Times New Roman"/>
      <w:sz w:val="24"/>
      <w:szCs w:val="24"/>
    </w:rPr>
  </w:style>
  <w:style w:type="paragraph" w:customStyle="1" w:styleId="RealEstate4L1">
    <w:name w:val="RealEstate4_L1"/>
    <w:basedOn w:val="Normal"/>
    <w:rsid w:val="004F05BD"/>
    <w:pPr>
      <w:numPr>
        <w:numId w:val="1"/>
      </w:numPr>
      <w:spacing w:after="240"/>
    </w:pPr>
    <w:rPr>
      <w:rFonts w:ascii="Times New Roman" w:hAnsi="Times New Roman" w:cs="Times New Roman"/>
      <w:sz w:val="20"/>
      <w:szCs w:val="20"/>
    </w:rPr>
  </w:style>
  <w:style w:type="paragraph" w:customStyle="1" w:styleId="RealEstate4L2">
    <w:name w:val="RealEstate4_L2"/>
    <w:basedOn w:val="Normal"/>
    <w:rsid w:val="004F05BD"/>
    <w:pPr>
      <w:numPr>
        <w:ilvl w:val="1"/>
        <w:numId w:val="1"/>
      </w:numPr>
      <w:spacing w:after="240"/>
    </w:pPr>
    <w:rPr>
      <w:rFonts w:ascii="Times New Roman" w:hAnsi="Times New Roman" w:cs="Times New Roman"/>
      <w:sz w:val="20"/>
      <w:szCs w:val="20"/>
    </w:rPr>
  </w:style>
  <w:style w:type="paragraph" w:customStyle="1" w:styleId="RealEstate4L3">
    <w:name w:val="RealEstate4_L3"/>
    <w:basedOn w:val="Normal"/>
    <w:rsid w:val="004F05BD"/>
    <w:pPr>
      <w:numPr>
        <w:ilvl w:val="2"/>
        <w:numId w:val="1"/>
      </w:numPr>
      <w:spacing w:after="240"/>
    </w:pPr>
    <w:rPr>
      <w:rFonts w:ascii="Times New Roman" w:hAnsi="Times New Roman" w:cs="Times New Roman"/>
      <w:sz w:val="20"/>
      <w:szCs w:val="20"/>
    </w:rPr>
  </w:style>
  <w:style w:type="paragraph" w:customStyle="1" w:styleId="RealEstate4L4">
    <w:name w:val="RealEstate4_L4"/>
    <w:basedOn w:val="Normal"/>
    <w:rsid w:val="004F05BD"/>
    <w:pPr>
      <w:numPr>
        <w:ilvl w:val="3"/>
        <w:numId w:val="1"/>
      </w:numPr>
      <w:spacing w:after="240"/>
    </w:pPr>
    <w:rPr>
      <w:rFonts w:ascii="Times New Roman" w:hAnsi="Times New Roman" w:cs="Times New Roman"/>
      <w:sz w:val="20"/>
      <w:szCs w:val="20"/>
    </w:rPr>
  </w:style>
  <w:style w:type="paragraph" w:customStyle="1" w:styleId="RealEstate4L5">
    <w:name w:val="RealEstate4_L5"/>
    <w:basedOn w:val="Normal"/>
    <w:rsid w:val="004F05BD"/>
    <w:pPr>
      <w:numPr>
        <w:ilvl w:val="4"/>
        <w:numId w:val="1"/>
      </w:numPr>
      <w:spacing w:after="240"/>
    </w:pPr>
    <w:rPr>
      <w:rFonts w:ascii="Times New Roman" w:hAnsi="Times New Roman" w:cs="Times New Roman"/>
      <w:sz w:val="20"/>
      <w:szCs w:val="20"/>
    </w:rPr>
  </w:style>
  <w:style w:type="paragraph" w:customStyle="1" w:styleId="RealEstate4L6">
    <w:name w:val="RealEstate4_L6"/>
    <w:basedOn w:val="Normal"/>
    <w:rsid w:val="004F05BD"/>
    <w:pPr>
      <w:numPr>
        <w:ilvl w:val="5"/>
        <w:numId w:val="1"/>
      </w:numPr>
      <w:spacing w:after="24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Rick</dc:creator>
  <cp:keywords/>
  <dc:description/>
  <cp:lastModifiedBy>Microsoft Office User</cp:lastModifiedBy>
  <cp:revision>3</cp:revision>
  <dcterms:created xsi:type="dcterms:W3CDTF">2018-10-18T22:23:00Z</dcterms:created>
  <dcterms:modified xsi:type="dcterms:W3CDTF">2018-10-19T20:00:00Z</dcterms:modified>
</cp:coreProperties>
</file>